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76AC1" w:rsidRPr="00BC6FA5" w:rsidRDefault="00371637" w:rsidP="00BC6FA5">
      <w:pPr>
        <w:spacing w:before="240" w:after="120"/>
        <w:jc w:val="center"/>
        <w:rPr>
          <w:sz w:val="24"/>
          <w:lang w:val="fr-FR"/>
        </w:rPr>
      </w:pPr>
      <w:bookmarkStart w:id="0" w:name="_GoBack"/>
      <w:bookmarkEnd w:id="0"/>
      <w:r w:rsidRPr="00BC6FA5">
        <w:rPr>
          <w:b/>
          <w:color w:val="548DD4"/>
          <w:sz w:val="44"/>
          <w:lang w:val="fr-FR"/>
        </w:rPr>
        <w:t>La déconstruction créatrice du travail :</w:t>
      </w:r>
    </w:p>
    <w:p w:rsidR="00476AC1" w:rsidRPr="00BC6FA5" w:rsidRDefault="00371637">
      <w:pPr>
        <w:jc w:val="center"/>
        <w:rPr>
          <w:lang w:val="fr-FR"/>
        </w:rPr>
      </w:pPr>
      <w:r w:rsidRPr="00BC6FA5">
        <w:rPr>
          <w:b/>
          <w:i/>
          <w:color w:val="548DD4"/>
          <w:sz w:val="32"/>
          <w:lang w:val="fr-FR"/>
        </w:rPr>
        <w:t>innovations, opportunités et pièges</w:t>
      </w:r>
    </w:p>
    <w:p w:rsidR="00BC6FA5" w:rsidRDefault="00BC6FA5" w:rsidP="00BC6FA5">
      <w:pPr>
        <w:spacing w:before="480" w:after="0"/>
        <w:jc w:val="center"/>
        <w:rPr>
          <w:i/>
          <w:color w:val="548DD4"/>
          <w:lang w:val="fr-FR"/>
        </w:rPr>
      </w:pPr>
      <w:r>
        <w:rPr>
          <w:i/>
          <w:color w:val="548DD4"/>
          <w:lang w:val="fr-FR"/>
        </w:rPr>
        <w:t xml:space="preserve">Conférence organisée </w:t>
      </w:r>
      <w:r w:rsidRPr="0052793F">
        <w:rPr>
          <w:i/>
          <w:color w:val="548DD4"/>
          <w:lang w:val="fr-FR"/>
        </w:rPr>
        <w:t xml:space="preserve">par </w:t>
      </w:r>
      <w:proofErr w:type="spellStart"/>
      <w:r w:rsidRPr="0052793F">
        <w:rPr>
          <w:i/>
          <w:color w:val="548DD4"/>
          <w:lang w:val="fr-FR"/>
        </w:rPr>
        <w:t>Umalis</w:t>
      </w:r>
      <w:proofErr w:type="spellEnd"/>
      <w:r w:rsidRPr="0052793F">
        <w:rPr>
          <w:i/>
          <w:color w:val="548DD4"/>
          <w:lang w:val="fr-FR"/>
        </w:rPr>
        <w:t xml:space="preserve"> </w:t>
      </w:r>
      <w:proofErr w:type="spellStart"/>
      <w:r w:rsidRPr="0052793F">
        <w:rPr>
          <w:i/>
          <w:color w:val="548DD4"/>
          <w:lang w:val="fr-FR"/>
        </w:rPr>
        <w:t>lab</w:t>
      </w:r>
      <w:proofErr w:type="spellEnd"/>
      <w:r w:rsidRPr="0052793F">
        <w:rPr>
          <w:i/>
          <w:color w:val="548DD4"/>
          <w:lang w:val="fr-FR"/>
        </w:rPr>
        <w:t xml:space="preserve"> et </w:t>
      </w:r>
      <w:r>
        <w:rPr>
          <w:i/>
          <w:color w:val="548DD4"/>
          <w:lang w:val="fr-FR"/>
        </w:rPr>
        <w:t xml:space="preserve">le </w:t>
      </w:r>
      <w:r w:rsidRPr="0052793F">
        <w:rPr>
          <w:i/>
          <w:color w:val="548DD4"/>
          <w:lang w:val="fr-FR"/>
        </w:rPr>
        <w:t>LITEM</w:t>
      </w:r>
      <w:r>
        <w:rPr>
          <w:i/>
          <w:color w:val="548DD4"/>
          <w:lang w:val="fr-FR"/>
        </w:rPr>
        <w:t xml:space="preserve"> </w:t>
      </w:r>
    </w:p>
    <w:p w:rsidR="00BC6FA5" w:rsidRPr="00BC6FA5" w:rsidRDefault="00BC6FA5" w:rsidP="00BC6FA5">
      <w:pPr>
        <w:spacing w:after="0"/>
        <w:jc w:val="center"/>
        <w:rPr>
          <w:i/>
          <w:color w:val="548DD4"/>
          <w:sz w:val="32"/>
          <w:lang w:val="fr-FR"/>
        </w:rPr>
      </w:pPr>
      <w:proofErr w:type="gramStart"/>
      <w:r>
        <w:rPr>
          <w:i/>
          <w:color w:val="548DD4"/>
          <w:lang w:val="fr-FR"/>
        </w:rPr>
        <w:t>les</w:t>
      </w:r>
      <w:proofErr w:type="gramEnd"/>
      <w:r>
        <w:rPr>
          <w:i/>
          <w:color w:val="548DD4"/>
          <w:lang w:val="fr-FR"/>
        </w:rPr>
        <w:t xml:space="preserve">  </w:t>
      </w:r>
      <w:r w:rsidR="00147042">
        <w:rPr>
          <w:i/>
          <w:color w:val="548DD4"/>
          <w:sz w:val="32"/>
          <w:lang w:val="fr-FR"/>
        </w:rPr>
        <w:t>18 – 19</w:t>
      </w:r>
      <w:r w:rsidRPr="00BC6FA5">
        <w:rPr>
          <w:i/>
          <w:color w:val="548DD4"/>
          <w:sz w:val="32"/>
          <w:lang w:val="fr-FR"/>
        </w:rPr>
        <w:t xml:space="preserve"> Septembre 2014</w:t>
      </w:r>
    </w:p>
    <w:p w:rsidR="00476AC1" w:rsidRPr="00BC6FA5" w:rsidRDefault="00BC6FA5" w:rsidP="00BC6FA5">
      <w:pPr>
        <w:spacing w:after="0"/>
        <w:jc w:val="center"/>
        <w:rPr>
          <w:i/>
          <w:color w:val="548DD4"/>
          <w:lang w:val="fr-FR"/>
        </w:rPr>
      </w:pPr>
      <w:r>
        <w:rPr>
          <w:i/>
          <w:color w:val="548DD4"/>
          <w:lang w:val="fr-FR"/>
        </w:rPr>
        <w:t>à</w:t>
      </w:r>
      <w:r w:rsidR="00371637" w:rsidRPr="0052793F">
        <w:rPr>
          <w:i/>
          <w:color w:val="548DD4"/>
          <w:lang w:val="fr-FR"/>
        </w:rPr>
        <w:t xml:space="preserve"> TEM, 46 rue Barrault 75013 Paris</w:t>
      </w:r>
    </w:p>
    <w:p w:rsidR="00BC6FA5" w:rsidRDefault="00AE1A1D">
      <w:pPr>
        <w:jc w:val="center"/>
        <w:rPr>
          <w:b/>
          <w:color w:val="548DD4"/>
          <w:sz w:val="28"/>
          <w:lang w:val="fr-FR"/>
        </w:rPr>
      </w:pPr>
      <w:r>
        <w:rPr>
          <w:b/>
          <w:color w:val="548DD4"/>
          <w:sz w:val="28"/>
          <w:lang w:val="fr-FR"/>
        </w:rPr>
        <w:t xml:space="preserve">   </w:t>
      </w:r>
    </w:p>
    <w:p w:rsidR="00476AC1" w:rsidRPr="00005EB0" w:rsidRDefault="00371637">
      <w:pPr>
        <w:jc w:val="center"/>
        <w:rPr>
          <w:lang w:val="fr-FR"/>
        </w:rPr>
      </w:pPr>
      <w:r w:rsidRPr="00005EB0">
        <w:rPr>
          <w:b/>
          <w:color w:val="548DD4"/>
          <w:sz w:val="28"/>
          <w:lang w:val="fr-FR"/>
        </w:rPr>
        <w:t>Appel à communication</w:t>
      </w:r>
    </w:p>
    <w:p w:rsidR="00476AC1" w:rsidRPr="00005EB0" w:rsidRDefault="00476AC1">
      <w:pPr>
        <w:jc w:val="both"/>
        <w:rPr>
          <w:lang w:val="fr-FR"/>
        </w:rPr>
      </w:pPr>
    </w:p>
    <w:p w:rsidR="00476AC1" w:rsidRPr="0052793F" w:rsidRDefault="00371637">
      <w:pPr>
        <w:jc w:val="both"/>
        <w:rPr>
          <w:lang w:val="fr-FR"/>
        </w:rPr>
      </w:pPr>
      <w:r w:rsidRPr="0052793F">
        <w:rPr>
          <w:lang w:val="fr-FR"/>
        </w:rPr>
        <w:t>Déjà en 1999, R. Castel (1999) diagnostiquait dans le déclin du salariat une métamorphose de la question sociale. Depuis, il voit sous l’impératif proclamé de flexibilité une montée des incertitudes et des risques (Castel, 2009). Et tout ceci a été accéléré par les nouvelles technologies, la société en réseau (Castells, 1978) et aussi une société du risque (Beck, 2001), une société liquide (Bauman, 2006) où les places et les repères, les désirs et les subjectivités sont tant en doutes angoissants qu’en opportunités de réinvention. Apparaissent des formes hybrides ou tierces d’emploi, ni salarié ni entrepreneur : travailleurs autonomes (Reynaud, 2007), salariés sans patron (Poncin, 2004), entrepreneurs de soi (Du Gay, Salaman, 1992), entrepreneurs en solo (Bravo-Bouyssy, 2010), amateurs et contributeurs (Stiegler, 2008). Alors que le chômage atteint des records, les piliers qui s’effondrent laissent-ils la place à de nouvelles constructions, et celles-ci sauront-elles constituer de nouveaux tremplins, remparts et revêtir des filets ?</w:t>
      </w:r>
    </w:p>
    <w:p w:rsidR="00476AC1" w:rsidRDefault="00371637">
      <w:pPr>
        <w:jc w:val="both"/>
      </w:pPr>
      <w:r w:rsidRPr="0052793F">
        <w:rPr>
          <w:lang w:val="fr-FR"/>
        </w:rPr>
        <w:t xml:space="preserve">Le but de cette journée est tant de continuer à documenter ces évolutions que de les évaluer, de réfléchir et contribuer, d’y porter une pluralité de regards critiques, humanistes et/ou créateurs et, si possible, des comparaisons internationales. </w:t>
      </w:r>
      <w:r>
        <w:t xml:space="preserve">Les contributions </w:t>
      </w:r>
      <w:proofErr w:type="spellStart"/>
      <w:r>
        <w:t>pourront</w:t>
      </w:r>
      <w:proofErr w:type="spellEnd"/>
      <w:r>
        <w:t xml:space="preserve"> </w:t>
      </w:r>
      <w:proofErr w:type="spellStart"/>
      <w:r>
        <w:t>s’intégrer</w:t>
      </w:r>
      <w:proofErr w:type="spellEnd"/>
      <w:r>
        <w:t xml:space="preserve"> </w:t>
      </w:r>
      <w:proofErr w:type="spellStart"/>
      <w:r>
        <w:t>dans</w:t>
      </w:r>
      <w:proofErr w:type="spellEnd"/>
      <w:r>
        <w:t xml:space="preserve"> les </w:t>
      </w:r>
      <w:proofErr w:type="spellStart"/>
      <w:r>
        <w:t>trois</w:t>
      </w:r>
      <w:proofErr w:type="spellEnd"/>
      <w:r>
        <w:t xml:space="preserve"> axes </w:t>
      </w:r>
      <w:proofErr w:type="spellStart"/>
      <w:proofErr w:type="gramStart"/>
      <w:r>
        <w:t>suivants</w:t>
      </w:r>
      <w:proofErr w:type="spellEnd"/>
      <w:r>
        <w:t> :</w:t>
      </w:r>
      <w:proofErr w:type="gramEnd"/>
    </w:p>
    <w:p w:rsidR="00476AC1" w:rsidRDefault="00371637">
      <w:pPr>
        <w:numPr>
          <w:ilvl w:val="0"/>
          <w:numId w:val="1"/>
        </w:numPr>
        <w:ind w:hanging="359"/>
        <w:contextualSpacing/>
        <w:rPr>
          <w:b/>
          <w:color w:val="548DD4"/>
        </w:rPr>
      </w:pPr>
      <w:r>
        <w:rPr>
          <w:b/>
          <w:color w:val="548DD4"/>
        </w:rPr>
        <w:lastRenderedPageBreak/>
        <w:t xml:space="preserve">De </w:t>
      </w:r>
      <w:proofErr w:type="spellStart"/>
      <w:r>
        <w:rPr>
          <w:b/>
          <w:color w:val="548DD4"/>
        </w:rPr>
        <w:t>nouvelles</w:t>
      </w:r>
      <w:proofErr w:type="spellEnd"/>
      <w:r>
        <w:rPr>
          <w:b/>
          <w:color w:val="548DD4"/>
        </w:rPr>
        <w:t xml:space="preserve"> </w:t>
      </w:r>
      <w:proofErr w:type="spellStart"/>
      <w:r>
        <w:rPr>
          <w:b/>
          <w:color w:val="548DD4"/>
        </w:rPr>
        <w:t>formes</w:t>
      </w:r>
      <w:proofErr w:type="spellEnd"/>
      <w:r>
        <w:rPr>
          <w:b/>
          <w:color w:val="548DD4"/>
        </w:rPr>
        <w:t xml:space="preserve"> </w:t>
      </w:r>
      <w:proofErr w:type="spellStart"/>
      <w:r>
        <w:rPr>
          <w:b/>
          <w:color w:val="548DD4"/>
        </w:rPr>
        <w:t>d’emploi</w:t>
      </w:r>
      <w:proofErr w:type="spellEnd"/>
    </w:p>
    <w:p w:rsidR="00476AC1" w:rsidRPr="0052793F" w:rsidRDefault="00371637">
      <w:pPr>
        <w:jc w:val="both"/>
        <w:rPr>
          <w:lang w:val="fr-FR"/>
        </w:rPr>
      </w:pPr>
      <w:r w:rsidRPr="0052793F">
        <w:rPr>
          <w:lang w:val="fr-FR"/>
        </w:rPr>
        <w:t xml:space="preserve">D’un côté, les plus experts trouvent dans de nouveaux arrangements statutaires tel le portage salarial un supplément d’autonomie et de rémunération, une moindre bureaucratie tout en conservant une bonne protection sociale. De l’autre, les plus précaires enchaînent les formes statutaires alternatives, aidées, intermittentes, mais qui peinent à les conduire vers le CDI, toujours considéré comme la norme souhaitable. Sur la longue période la place centrale du salariat dans l’emploi fait plus figure d’exception que de norme (Hernandez, Marco, 2008). Quelles nouvelles formes d’emploi s’inventent-elles aujourd’hui ? Est-il déjà temps d’en évaluer les possibilités, les risques et les limites ? Derrière le « bricolage institutionnel » (Reynaud, 2007), est-il possible de distinguer les modes des lignes de forces ? </w:t>
      </w:r>
    </w:p>
    <w:p w:rsidR="00476AC1" w:rsidRPr="0052793F" w:rsidRDefault="00371637">
      <w:pPr>
        <w:jc w:val="both"/>
        <w:rPr>
          <w:lang w:val="fr-FR"/>
        </w:rPr>
      </w:pPr>
      <w:r w:rsidRPr="0052793F">
        <w:rPr>
          <w:lang w:val="fr-FR"/>
        </w:rPr>
        <w:t xml:space="preserve">Nous recherchons en particulier les regards pluridisciplinaires, polyphoniques ou pluri-niveaux, empiriques et/ou conceptuels, tentant de restituer toute la complexité de ces évolutions. </w:t>
      </w:r>
    </w:p>
    <w:p w:rsidR="00476AC1" w:rsidRDefault="00371637">
      <w:pPr>
        <w:numPr>
          <w:ilvl w:val="0"/>
          <w:numId w:val="1"/>
        </w:numPr>
        <w:ind w:hanging="359"/>
        <w:contextualSpacing/>
        <w:jc w:val="both"/>
        <w:rPr>
          <w:b/>
          <w:color w:val="548DD4"/>
        </w:rPr>
      </w:pPr>
      <w:r>
        <w:rPr>
          <w:b/>
          <w:color w:val="548DD4"/>
        </w:rPr>
        <w:t xml:space="preserve">De </w:t>
      </w:r>
      <w:proofErr w:type="spellStart"/>
      <w:r>
        <w:rPr>
          <w:b/>
          <w:color w:val="548DD4"/>
        </w:rPr>
        <w:t>nouvelles</w:t>
      </w:r>
      <w:proofErr w:type="spellEnd"/>
      <w:r>
        <w:rPr>
          <w:b/>
          <w:color w:val="548DD4"/>
        </w:rPr>
        <w:t xml:space="preserve"> conditions des </w:t>
      </w:r>
      <w:proofErr w:type="spellStart"/>
      <w:r>
        <w:rPr>
          <w:b/>
          <w:color w:val="548DD4"/>
        </w:rPr>
        <w:t>travailleurs</w:t>
      </w:r>
      <w:proofErr w:type="spellEnd"/>
    </w:p>
    <w:p w:rsidR="00476AC1" w:rsidRPr="0052793F" w:rsidRDefault="00371637">
      <w:pPr>
        <w:jc w:val="both"/>
        <w:rPr>
          <w:lang w:val="fr-FR"/>
        </w:rPr>
      </w:pPr>
      <w:r w:rsidRPr="0052793F">
        <w:rPr>
          <w:lang w:val="fr-FR"/>
        </w:rPr>
        <w:t xml:space="preserve">Les nouveaux travailleurs autonomes n’ont plus de lien de subordination direct. Les voici </w:t>
      </w:r>
      <w:r w:rsidRPr="0052793F">
        <w:rPr>
          <w:i/>
          <w:lang w:val="fr-FR"/>
        </w:rPr>
        <w:t>empowered</w:t>
      </w:r>
      <w:r w:rsidRPr="0052793F">
        <w:rPr>
          <w:lang w:val="fr-FR"/>
        </w:rPr>
        <w:t>, responsables de leur emploi et de leur employabilité, choisissant leurs missions, leur équilibre entre vies professionnelle et privée, au statut valorisé de quasi-entrepreneurs. Mais ne sont-ils pas aussi tels des « particules élémentaires », individus liquides dans un présent liquide, déracinés des réseaux traditionnels de socialisation ? Quelles formes de subjectivité, quelle formes de désir, quelles formes de socialisation, quelles émancipations et aliénations s’inventent-elles ? Ces mêmes questions ne peuvent-elles pas être posées pour d’autres catégories de travail ? Comment sont vécus les statuts d’intermittent, d’auto-entrepreneur, de contrat unique d’insertion… ?</w:t>
      </w:r>
      <w:r w:rsidRPr="0052793F">
        <w:rPr>
          <w:color w:val="FF0000"/>
          <w:lang w:val="fr-FR"/>
        </w:rPr>
        <w:t xml:space="preserve"> </w:t>
      </w:r>
      <w:r w:rsidRPr="0052793F">
        <w:rPr>
          <w:lang w:val="fr-FR"/>
        </w:rPr>
        <w:t>Quelles seront les nouvelles figures du travailleur de demain ?</w:t>
      </w:r>
    </w:p>
    <w:p w:rsidR="00476AC1" w:rsidRPr="0052793F" w:rsidRDefault="00371637">
      <w:pPr>
        <w:jc w:val="both"/>
        <w:rPr>
          <w:lang w:val="fr-FR"/>
        </w:rPr>
      </w:pPr>
      <w:r w:rsidRPr="0052793F">
        <w:rPr>
          <w:lang w:val="fr-FR"/>
        </w:rPr>
        <w:t>Nous recherchons en particulier les approches descriptives, portraits, cas, (auto-)ethnographies, cartographies, ainsi que leurs discussions dans des approches plus compréhensives (néolibérale, foucaldienne, stieglierienne, pragmatiste, marxiste…).</w:t>
      </w:r>
    </w:p>
    <w:p w:rsidR="00476AC1" w:rsidRDefault="00371637">
      <w:pPr>
        <w:numPr>
          <w:ilvl w:val="0"/>
          <w:numId w:val="1"/>
        </w:numPr>
        <w:ind w:hanging="359"/>
        <w:contextualSpacing/>
        <w:jc w:val="both"/>
        <w:rPr>
          <w:b/>
          <w:color w:val="548DD4"/>
        </w:rPr>
      </w:pPr>
      <w:r>
        <w:rPr>
          <w:b/>
          <w:color w:val="548DD4"/>
        </w:rPr>
        <w:lastRenderedPageBreak/>
        <w:t xml:space="preserve">De </w:t>
      </w:r>
      <w:proofErr w:type="spellStart"/>
      <w:r>
        <w:rPr>
          <w:b/>
          <w:color w:val="548DD4"/>
        </w:rPr>
        <w:t>nouvelles</w:t>
      </w:r>
      <w:proofErr w:type="spellEnd"/>
      <w:r>
        <w:rPr>
          <w:b/>
          <w:color w:val="548DD4"/>
        </w:rPr>
        <w:t xml:space="preserve"> </w:t>
      </w:r>
      <w:proofErr w:type="spellStart"/>
      <w:r>
        <w:rPr>
          <w:b/>
          <w:color w:val="548DD4"/>
        </w:rPr>
        <w:t>responsabilités</w:t>
      </w:r>
      <w:proofErr w:type="spellEnd"/>
      <w:r>
        <w:rPr>
          <w:b/>
          <w:color w:val="548DD4"/>
        </w:rPr>
        <w:t xml:space="preserve"> </w:t>
      </w:r>
      <w:proofErr w:type="spellStart"/>
      <w:r>
        <w:rPr>
          <w:b/>
          <w:color w:val="548DD4"/>
        </w:rPr>
        <w:t>sociales</w:t>
      </w:r>
      <w:proofErr w:type="spellEnd"/>
    </w:p>
    <w:p w:rsidR="00476AC1" w:rsidRPr="0052793F" w:rsidRDefault="00371637">
      <w:pPr>
        <w:jc w:val="both"/>
        <w:rPr>
          <w:lang w:val="fr-FR"/>
        </w:rPr>
      </w:pPr>
      <w:r w:rsidRPr="0052793F">
        <w:rPr>
          <w:lang w:val="fr-FR"/>
        </w:rPr>
        <w:t>Quelles sources de responsabilité sont impliquées pour faire face à ces évolutions : l’Etat et les collectivités territoriales, les entreprises, les associations, les partenaires syndicaux, les travailleurs eux-mêmes ? S’il est vrai que les évolutions en matière d’emploi sont en France plutôt considérées comme du ressort de l’Etat et des partenaires sociaux, la responsabilisation des entreprises via le concept de RSE et des salariés gagne du terrain. Notamment la responsabilité envers les seniors (Peretti, 2004) ou les minorités, mais cette responsabilité est-elle de l’emploi ou de l’employabilité (Igalens, 2004)? Quelle part attribuer aux travailleurs eux-mêmes (Boyer, 2004), à leurs possibilités de résilience (Bournois, Rojot, 2004) ? Quelles responsabilités spécifiques attribuer aux tiers, comme les agences d’intérim ou de portage salarial ? A nouveau ces évolutions témoignent-elles d’un accroissement d’autonomie ou de précarisation, ne sont-elles une nouvelle victoire de la norme sur la loi (Pesqueux, 2000) ?</w:t>
      </w:r>
    </w:p>
    <w:p w:rsidR="00476AC1" w:rsidRPr="0052793F" w:rsidRDefault="00371637">
      <w:pPr>
        <w:jc w:val="both"/>
        <w:rPr>
          <w:lang w:val="fr-FR"/>
        </w:rPr>
      </w:pPr>
      <w:r w:rsidRPr="0052793F">
        <w:rPr>
          <w:lang w:val="fr-FR"/>
        </w:rPr>
        <w:t>Nous recherchons en particulier une pluralité d’approches, descriptives, normatives, juridiques, politiques, enracinée ou non dans un secteur spécifique ou favorisant les comparaisons internationales.</w:t>
      </w:r>
    </w:p>
    <w:p w:rsidR="00BC6FA5" w:rsidRDefault="00BC6FA5">
      <w:pPr>
        <w:jc w:val="both"/>
        <w:rPr>
          <w:lang w:val="fr-FR"/>
        </w:rPr>
      </w:pPr>
    </w:p>
    <w:p w:rsidR="00476AC1" w:rsidRPr="0052793F" w:rsidRDefault="00371637" w:rsidP="00AE46FA">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lang w:val="fr-FR"/>
        </w:rPr>
      </w:pPr>
      <w:r w:rsidRPr="00BC6FA5">
        <w:rPr>
          <w:b/>
          <w:lang w:val="fr-FR"/>
        </w:rPr>
        <w:t>Les intentions de communication</w:t>
      </w:r>
      <w:r w:rsidRPr="0052793F">
        <w:rPr>
          <w:lang w:val="fr-FR"/>
        </w:rPr>
        <w:t xml:space="preserve"> (500 – 1 500 mots) sont à envoyer avant </w:t>
      </w:r>
      <w:r w:rsidRPr="0052793F">
        <w:rPr>
          <w:b/>
          <w:color w:val="548DD4"/>
          <w:lang w:val="fr-FR"/>
        </w:rPr>
        <w:t xml:space="preserve">le </w:t>
      </w:r>
      <w:r w:rsidR="00BC6FA5">
        <w:rPr>
          <w:b/>
          <w:color w:val="548DD4"/>
          <w:lang w:val="fr-FR"/>
        </w:rPr>
        <w:t>11</w:t>
      </w:r>
      <w:r w:rsidRPr="0052793F">
        <w:rPr>
          <w:b/>
          <w:color w:val="548DD4"/>
          <w:lang w:val="fr-FR"/>
        </w:rPr>
        <w:t xml:space="preserve"> juillet 2014</w:t>
      </w:r>
      <w:r w:rsidRPr="0052793F">
        <w:rPr>
          <w:lang w:val="fr-FR"/>
        </w:rPr>
        <w:t xml:space="preserve"> à jean-luc.moriceau@telecom-em.eu. Le retour aux auteurs sera communiqué avant fin juillet. Pour figurer dans les actes, le texte complet sera à faire parvenir pour le 10 septembre. Certains textes seront sélectionnés pour une publication dans </w:t>
      </w:r>
      <w:r w:rsidR="00BC6FA5">
        <w:rPr>
          <w:lang w:val="fr-FR"/>
        </w:rPr>
        <w:t xml:space="preserve">La Revue des Sciences de Gestion – Direction et Gestion des entreprises, revue classée dans la liste FNEGE. </w:t>
      </w:r>
    </w:p>
    <w:p w:rsidR="00AE46FA" w:rsidRDefault="00AE46FA">
      <w:pPr>
        <w:jc w:val="both"/>
        <w:rPr>
          <w:b/>
          <w:color w:val="548DD4"/>
          <w:lang w:val="fr-FR"/>
        </w:rPr>
      </w:pPr>
    </w:p>
    <w:p w:rsidR="00AE46FA" w:rsidRDefault="00AE46FA">
      <w:pPr>
        <w:jc w:val="both"/>
        <w:rPr>
          <w:b/>
          <w:color w:val="548DD4"/>
          <w:lang w:val="fr-FR"/>
        </w:rPr>
      </w:pPr>
    </w:p>
    <w:p w:rsidR="00AE46FA" w:rsidRDefault="00AE46FA">
      <w:pPr>
        <w:jc w:val="both"/>
        <w:rPr>
          <w:b/>
          <w:color w:val="548DD4"/>
          <w:lang w:val="fr-FR"/>
        </w:rPr>
      </w:pPr>
    </w:p>
    <w:p w:rsidR="00AE46FA" w:rsidRDefault="00AE46FA">
      <w:pPr>
        <w:jc w:val="both"/>
        <w:rPr>
          <w:b/>
          <w:color w:val="548DD4"/>
          <w:lang w:val="fr-FR"/>
        </w:rPr>
      </w:pPr>
    </w:p>
    <w:p w:rsidR="00476AC1" w:rsidRPr="0052793F" w:rsidRDefault="00371637" w:rsidP="00AE46FA">
      <w:pPr>
        <w:spacing w:after="0"/>
        <w:jc w:val="both"/>
        <w:rPr>
          <w:lang w:val="fr-FR"/>
        </w:rPr>
      </w:pPr>
      <w:r w:rsidRPr="0052793F">
        <w:rPr>
          <w:b/>
          <w:color w:val="548DD4"/>
          <w:lang w:val="fr-FR"/>
        </w:rPr>
        <w:lastRenderedPageBreak/>
        <w:t>Comité d’organisation</w:t>
      </w:r>
    </w:p>
    <w:p w:rsidR="00476AC1" w:rsidRPr="0052793F" w:rsidRDefault="00371637">
      <w:pPr>
        <w:spacing w:after="0"/>
        <w:jc w:val="both"/>
        <w:rPr>
          <w:lang w:val="fr-FR"/>
        </w:rPr>
      </w:pPr>
      <w:r w:rsidRPr="0052793F">
        <w:rPr>
          <w:lang w:val="fr-FR"/>
        </w:rPr>
        <w:t xml:space="preserve">Géraldine Guérillot - Julien Billion - Isabela </w:t>
      </w:r>
      <w:proofErr w:type="spellStart"/>
      <w:r w:rsidRPr="0052793F">
        <w:rPr>
          <w:lang w:val="fr-FR"/>
        </w:rPr>
        <w:t>Paes</w:t>
      </w:r>
      <w:proofErr w:type="spellEnd"/>
      <w:r w:rsidRPr="0052793F">
        <w:rPr>
          <w:lang w:val="fr-FR"/>
        </w:rPr>
        <w:t xml:space="preserve"> - Jean-Luc </w:t>
      </w:r>
      <w:proofErr w:type="spellStart"/>
      <w:r w:rsidRPr="0052793F">
        <w:rPr>
          <w:lang w:val="fr-FR"/>
        </w:rPr>
        <w:t>Moriceau</w:t>
      </w:r>
      <w:proofErr w:type="spellEnd"/>
      <w:r w:rsidR="006D429A">
        <w:rPr>
          <w:lang w:val="fr-FR"/>
        </w:rPr>
        <w:t xml:space="preserve"> </w:t>
      </w:r>
      <w:r w:rsidR="006D429A" w:rsidRPr="0052793F">
        <w:rPr>
          <w:lang w:val="fr-FR"/>
        </w:rPr>
        <w:t>-</w:t>
      </w:r>
      <w:r w:rsidR="006D429A">
        <w:rPr>
          <w:lang w:val="fr-FR"/>
        </w:rPr>
        <w:t xml:space="preserve"> </w:t>
      </w:r>
      <w:proofErr w:type="spellStart"/>
      <w:r w:rsidR="006D429A">
        <w:rPr>
          <w:lang w:val="fr-FR"/>
        </w:rPr>
        <w:t>Moez</w:t>
      </w:r>
      <w:proofErr w:type="spellEnd"/>
      <w:r w:rsidR="006D429A">
        <w:rPr>
          <w:lang w:val="fr-FR"/>
        </w:rPr>
        <w:t xml:space="preserve"> Ammar.</w:t>
      </w:r>
    </w:p>
    <w:p w:rsidR="00476AC1" w:rsidRPr="0052793F" w:rsidRDefault="00371637" w:rsidP="00AE46FA">
      <w:pPr>
        <w:spacing w:before="200" w:after="0" w:line="240" w:lineRule="auto"/>
        <w:jc w:val="both"/>
        <w:rPr>
          <w:lang w:val="fr-FR"/>
        </w:rPr>
      </w:pPr>
      <w:r w:rsidRPr="0052793F">
        <w:rPr>
          <w:b/>
          <w:color w:val="548DD4"/>
          <w:lang w:val="fr-FR"/>
        </w:rPr>
        <w:t>Co</w:t>
      </w:r>
      <w:r w:rsidR="008E4CBA">
        <w:rPr>
          <w:b/>
          <w:color w:val="548DD4"/>
          <w:lang w:val="fr-FR"/>
        </w:rPr>
        <w:t xml:space="preserve">mité scientifique </w:t>
      </w:r>
    </w:p>
    <w:p w:rsidR="00476AC1" w:rsidRPr="0052793F" w:rsidRDefault="00371637">
      <w:pPr>
        <w:jc w:val="both"/>
        <w:rPr>
          <w:lang w:val="fr-FR"/>
        </w:rPr>
      </w:pPr>
      <w:r w:rsidRPr="0052793F">
        <w:rPr>
          <w:lang w:val="fr-FR"/>
        </w:rPr>
        <w:t xml:space="preserve">Aude d’Andria (UEVE), </w:t>
      </w:r>
      <w:r w:rsidR="00005EB0" w:rsidRPr="0052793F">
        <w:rPr>
          <w:lang w:val="fr-FR"/>
        </w:rPr>
        <w:t xml:space="preserve">Emmanuel Baudouin (TEM), </w:t>
      </w:r>
      <w:r w:rsidR="009736AD" w:rsidRPr="00005EB0">
        <w:rPr>
          <w:lang w:val="fr-FR"/>
        </w:rPr>
        <w:t>Yoann Bazin (</w:t>
      </w:r>
      <w:proofErr w:type="spellStart"/>
      <w:r w:rsidR="009736AD" w:rsidRPr="00005EB0">
        <w:rPr>
          <w:lang w:val="fr-FR"/>
        </w:rPr>
        <w:t>istec</w:t>
      </w:r>
      <w:proofErr w:type="spellEnd"/>
      <w:r w:rsidR="009736AD" w:rsidRPr="00005EB0">
        <w:rPr>
          <w:lang w:val="fr-FR"/>
        </w:rPr>
        <w:t>)</w:t>
      </w:r>
      <w:r w:rsidR="008E4CBA" w:rsidRPr="00005EB0">
        <w:rPr>
          <w:lang w:val="fr-FR"/>
        </w:rPr>
        <w:t>,</w:t>
      </w:r>
      <w:r w:rsidR="009736AD">
        <w:rPr>
          <w:lang w:val="fr-FR"/>
        </w:rPr>
        <w:t xml:space="preserve"> </w:t>
      </w:r>
      <w:r w:rsidRPr="0052793F">
        <w:rPr>
          <w:lang w:val="fr-FR"/>
        </w:rPr>
        <w:t>Julien Billion (</w:t>
      </w:r>
      <w:proofErr w:type="spellStart"/>
      <w:r w:rsidRPr="0052793F">
        <w:rPr>
          <w:lang w:val="fr-FR"/>
        </w:rPr>
        <w:t>Umalis</w:t>
      </w:r>
      <w:proofErr w:type="spellEnd"/>
      <w:r w:rsidRPr="0052793F">
        <w:rPr>
          <w:lang w:val="fr-FR"/>
        </w:rPr>
        <w:t xml:space="preserve"> Lab), </w:t>
      </w:r>
      <w:r w:rsidR="008E4CBA">
        <w:rPr>
          <w:lang w:val="fr-FR"/>
        </w:rPr>
        <w:t xml:space="preserve">Sylvain Bureau (ESCP), </w:t>
      </w:r>
      <w:r w:rsidR="000204C8">
        <w:rPr>
          <w:lang w:val="fr-FR"/>
        </w:rPr>
        <w:t xml:space="preserve">François Fort (Dauphine/ESCP), </w:t>
      </w:r>
      <w:r w:rsidRPr="0052793F">
        <w:rPr>
          <w:lang w:val="fr-FR"/>
        </w:rPr>
        <w:t xml:space="preserve">Nathan Fosse (Université </w:t>
      </w:r>
      <w:proofErr w:type="spellStart"/>
      <w:r w:rsidRPr="0052793F">
        <w:rPr>
          <w:lang w:val="fr-FR"/>
        </w:rPr>
        <w:t>Tufts</w:t>
      </w:r>
      <w:proofErr w:type="spellEnd"/>
      <w:r w:rsidRPr="0052793F">
        <w:rPr>
          <w:lang w:val="fr-FR"/>
        </w:rPr>
        <w:t>), Yannick F</w:t>
      </w:r>
      <w:r w:rsidR="00800CF8">
        <w:rPr>
          <w:lang w:val="fr-FR"/>
        </w:rPr>
        <w:t xml:space="preserve">ronda (TEM), Nicolas </w:t>
      </w:r>
      <w:proofErr w:type="spellStart"/>
      <w:r w:rsidR="00800CF8">
        <w:rPr>
          <w:lang w:val="fr-FR"/>
        </w:rPr>
        <w:t>Gardè</w:t>
      </w:r>
      <w:r w:rsidRPr="0052793F">
        <w:rPr>
          <w:lang w:val="fr-FR"/>
        </w:rPr>
        <w:t>res</w:t>
      </w:r>
      <w:proofErr w:type="spellEnd"/>
      <w:r w:rsidRPr="0052793F">
        <w:rPr>
          <w:lang w:val="fr-FR"/>
        </w:rPr>
        <w:t xml:space="preserve"> (</w:t>
      </w:r>
      <w:proofErr w:type="spellStart"/>
      <w:r w:rsidRPr="0052793F">
        <w:rPr>
          <w:lang w:val="fr-FR"/>
        </w:rPr>
        <w:t>Umalis</w:t>
      </w:r>
      <w:proofErr w:type="spellEnd"/>
      <w:r w:rsidRPr="0052793F">
        <w:rPr>
          <w:lang w:val="fr-FR"/>
        </w:rPr>
        <w:t xml:space="preserve"> </w:t>
      </w:r>
      <w:proofErr w:type="spellStart"/>
      <w:r w:rsidRPr="0052793F">
        <w:rPr>
          <w:lang w:val="fr-FR"/>
        </w:rPr>
        <w:t>lab</w:t>
      </w:r>
      <w:proofErr w:type="spellEnd"/>
      <w:r w:rsidRPr="0052793F">
        <w:rPr>
          <w:lang w:val="fr-FR"/>
        </w:rPr>
        <w:t xml:space="preserve">), Géraldine </w:t>
      </w:r>
      <w:proofErr w:type="spellStart"/>
      <w:r w:rsidRPr="0052793F">
        <w:rPr>
          <w:lang w:val="fr-FR"/>
        </w:rPr>
        <w:t>Guérillot</w:t>
      </w:r>
      <w:proofErr w:type="spellEnd"/>
      <w:r w:rsidRPr="0052793F">
        <w:rPr>
          <w:lang w:val="fr-FR"/>
        </w:rPr>
        <w:t xml:space="preserve"> (</w:t>
      </w:r>
      <w:proofErr w:type="spellStart"/>
      <w:r w:rsidRPr="0052793F">
        <w:rPr>
          <w:lang w:val="fr-FR"/>
        </w:rPr>
        <w:t>Umalis</w:t>
      </w:r>
      <w:proofErr w:type="spellEnd"/>
      <w:r w:rsidRPr="0052793F">
        <w:rPr>
          <w:lang w:val="fr-FR"/>
        </w:rPr>
        <w:t xml:space="preserve"> Lab), Rémi </w:t>
      </w:r>
      <w:proofErr w:type="spellStart"/>
      <w:r w:rsidRPr="0052793F">
        <w:rPr>
          <w:lang w:val="fr-FR"/>
        </w:rPr>
        <w:t>Jardat</w:t>
      </w:r>
      <w:proofErr w:type="spellEnd"/>
      <w:r w:rsidRPr="0052793F">
        <w:rPr>
          <w:lang w:val="fr-FR"/>
        </w:rPr>
        <w:t xml:space="preserve"> (ISTEC), Hugo </w:t>
      </w:r>
      <w:proofErr w:type="spellStart"/>
      <w:r w:rsidRPr="0052793F">
        <w:rPr>
          <w:lang w:val="fr-FR"/>
        </w:rPr>
        <w:t>Letiche</w:t>
      </w:r>
      <w:proofErr w:type="spellEnd"/>
      <w:r w:rsidRPr="0052793F">
        <w:rPr>
          <w:lang w:val="fr-FR"/>
        </w:rPr>
        <w:t xml:space="preserve"> (U. of Leicester), Jean-Luc Moriceau (TEM), Isabela Paes (TEM), Yvon Pesqueux (CNAM), Richard Soparnot (FBS).</w:t>
      </w:r>
    </w:p>
    <w:p w:rsidR="00476AC1" w:rsidRPr="00AE46FA" w:rsidRDefault="00476AC1">
      <w:pPr>
        <w:jc w:val="both"/>
        <w:rPr>
          <w:sz w:val="12"/>
          <w:lang w:val="fr-FR"/>
        </w:rPr>
      </w:pPr>
    </w:p>
    <w:p w:rsidR="00476AC1" w:rsidRPr="0052793F" w:rsidRDefault="00371637">
      <w:pPr>
        <w:spacing w:after="80" w:line="240" w:lineRule="auto"/>
        <w:rPr>
          <w:lang w:val="fr-FR"/>
        </w:rPr>
      </w:pPr>
      <w:r w:rsidRPr="0052793F">
        <w:rPr>
          <w:rFonts w:ascii="Cambria" w:eastAsia="Cambria" w:hAnsi="Cambria" w:cs="Cambria"/>
          <w:b/>
          <w:color w:val="548DD4"/>
          <w:sz w:val="14"/>
          <w:lang w:val="fr-FR"/>
        </w:rPr>
        <w:t>Références :</w:t>
      </w:r>
    </w:p>
    <w:p w:rsidR="00476AC1" w:rsidRPr="0052793F" w:rsidRDefault="00371637">
      <w:pPr>
        <w:spacing w:after="80" w:line="240" w:lineRule="auto"/>
        <w:rPr>
          <w:lang w:val="fr-FR"/>
        </w:rPr>
      </w:pPr>
      <w:r w:rsidRPr="0052793F">
        <w:rPr>
          <w:rFonts w:ascii="Cambria" w:eastAsia="Cambria" w:hAnsi="Cambria" w:cs="Cambria"/>
          <w:sz w:val="14"/>
          <w:lang w:val="fr-FR"/>
        </w:rPr>
        <w:t xml:space="preserve">Bauman Zygmunt, 2006, </w:t>
      </w:r>
      <w:r w:rsidRPr="0052793F">
        <w:rPr>
          <w:rFonts w:ascii="Cambria" w:eastAsia="Cambria" w:hAnsi="Cambria" w:cs="Cambria"/>
          <w:i/>
          <w:sz w:val="14"/>
          <w:lang w:val="fr-FR"/>
        </w:rPr>
        <w:t>La Vie liquide,</w:t>
      </w:r>
      <w:r w:rsidRPr="0052793F">
        <w:rPr>
          <w:rFonts w:ascii="Cambria" w:eastAsia="Cambria" w:hAnsi="Cambria" w:cs="Cambria"/>
          <w:sz w:val="14"/>
          <w:lang w:val="fr-FR"/>
        </w:rPr>
        <w:t xml:space="preserve"> Rodez, Les Editions du Rouergue. </w:t>
      </w:r>
    </w:p>
    <w:p w:rsidR="00476AC1" w:rsidRPr="0052793F" w:rsidRDefault="00371637">
      <w:pPr>
        <w:spacing w:after="80" w:line="240" w:lineRule="auto"/>
        <w:rPr>
          <w:lang w:val="fr-FR"/>
        </w:rPr>
      </w:pPr>
      <w:r w:rsidRPr="0052793F">
        <w:rPr>
          <w:rFonts w:ascii="Cambria" w:eastAsia="Cambria" w:hAnsi="Cambria" w:cs="Cambria"/>
          <w:sz w:val="14"/>
          <w:lang w:val="fr-FR"/>
        </w:rPr>
        <w:t xml:space="preserve">Beaucourt Chrystel et  Louart Pierre, 2003, « La vogue des salariés entrepreneurs », in </w:t>
      </w:r>
      <w:r w:rsidRPr="0052793F">
        <w:rPr>
          <w:rFonts w:ascii="Cambria" w:eastAsia="Cambria" w:hAnsi="Cambria" w:cs="Cambria"/>
          <w:i/>
          <w:sz w:val="14"/>
          <w:lang w:val="fr-FR"/>
        </w:rPr>
        <w:t xml:space="preserve">Encyclopédie des Ressources Humaines, </w:t>
      </w:r>
      <w:r w:rsidRPr="0052793F">
        <w:rPr>
          <w:rFonts w:ascii="Cambria" w:eastAsia="Cambria" w:hAnsi="Cambria" w:cs="Cambria"/>
          <w:sz w:val="14"/>
          <w:lang w:val="fr-FR"/>
        </w:rPr>
        <w:t>J. Allouche (coord.), Paris, Vuibert, pp 428-440.</w:t>
      </w:r>
    </w:p>
    <w:p w:rsidR="00476AC1" w:rsidRPr="0052793F" w:rsidRDefault="00371637">
      <w:pPr>
        <w:spacing w:after="80" w:line="240" w:lineRule="auto"/>
        <w:rPr>
          <w:lang w:val="fr-FR"/>
        </w:rPr>
      </w:pPr>
      <w:r w:rsidRPr="0052793F">
        <w:rPr>
          <w:rFonts w:ascii="Cambria" w:eastAsia="Cambria" w:hAnsi="Cambria" w:cs="Cambria"/>
          <w:sz w:val="14"/>
          <w:lang w:val="fr-FR"/>
        </w:rPr>
        <w:t xml:space="preserve">Beck Ulrich, 3001, </w:t>
      </w:r>
      <w:r w:rsidRPr="0052793F">
        <w:rPr>
          <w:rFonts w:ascii="Cambria" w:eastAsia="Cambria" w:hAnsi="Cambria" w:cs="Cambria"/>
          <w:i/>
          <w:color w:val="252525"/>
          <w:sz w:val="14"/>
          <w:highlight w:val="white"/>
          <w:lang w:val="fr-FR"/>
        </w:rPr>
        <w:t>La Société du risque : Sur la voie d'une autre modernité</w:t>
      </w:r>
      <w:r w:rsidRPr="0052793F">
        <w:rPr>
          <w:rFonts w:ascii="Cambria" w:eastAsia="Cambria" w:hAnsi="Cambria" w:cs="Cambria"/>
          <w:color w:val="252525"/>
          <w:sz w:val="14"/>
          <w:highlight w:val="white"/>
          <w:lang w:val="fr-FR"/>
        </w:rPr>
        <w:t>, Paris : Aubier,‎ 2001.</w:t>
      </w:r>
    </w:p>
    <w:p w:rsidR="00476AC1" w:rsidRPr="0052793F" w:rsidRDefault="00371637">
      <w:pPr>
        <w:spacing w:after="80" w:line="240" w:lineRule="auto"/>
        <w:rPr>
          <w:lang w:val="fr-FR"/>
        </w:rPr>
      </w:pPr>
      <w:r w:rsidRPr="0052793F">
        <w:rPr>
          <w:rFonts w:ascii="Cambria" w:eastAsia="Cambria" w:hAnsi="Cambria" w:cs="Cambria"/>
          <w:color w:val="252525"/>
          <w:sz w:val="14"/>
          <w:highlight w:val="white"/>
          <w:lang w:val="fr-FR"/>
        </w:rPr>
        <w:t xml:space="preserve">Bournois Frank et Rojot Jacques, 2004, « La part de chacun : la résilience », in J. Igalens (dir), </w:t>
      </w:r>
      <w:r w:rsidRPr="0052793F">
        <w:rPr>
          <w:rFonts w:ascii="Cambria" w:eastAsia="Cambria" w:hAnsi="Cambria" w:cs="Cambria"/>
          <w:i/>
          <w:color w:val="252525"/>
          <w:sz w:val="14"/>
          <w:highlight w:val="white"/>
          <w:lang w:val="fr-FR"/>
        </w:rPr>
        <w:t>Tous responsables</w:t>
      </w:r>
      <w:r w:rsidRPr="0052793F">
        <w:rPr>
          <w:rFonts w:ascii="Cambria" w:eastAsia="Cambria" w:hAnsi="Cambria" w:cs="Cambria"/>
          <w:color w:val="252525"/>
          <w:sz w:val="14"/>
          <w:highlight w:val="white"/>
          <w:lang w:val="fr-FR"/>
        </w:rPr>
        <w:t>, Paris : éditions d’organisation, pp 321-334.</w:t>
      </w:r>
    </w:p>
    <w:p w:rsidR="00476AC1" w:rsidRPr="0052793F" w:rsidRDefault="00371637">
      <w:pPr>
        <w:spacing w:after="80" w:line="240" w:lineRule="auto"/>
        <w:rPr>
          <w:lang w:val="fr-FR"/>
        </w:rPr>
      </w:pPr>
      <w:r w:rsidRPr="0052793F">
        <w:rPr>
          <w:rFonts w:ascii="Cambria" w:eastAsia="Cambria" w:hAnsi="Cambria" w:cs="Cambria"/>
          <w:color w:val="252525"/>
          <w:sz w:val="14"/>
          <w:highlight w:val="white"/>
          <w:lang w:val="fr-FR"/>
        </w:rPr>
        <w:t xml:space="preserve">Boyer Luc, 2004, « Le Salarié responsable de son futur métier ? », in J. Igalens (dir), </w:t>
      </w:r>
      <w:r w:rsidRPr="0052793F">
        <w:rPr>
          <w:rFonts w:ascii="Cambria" w:eastAsia="Cambria" w:hAnsi="Cambria" w:cs="Cambria"/>
          <w:i/>
          <w:color w:val="252525"/>
          <w:sz w:val="14"/>
          <w:highlight w:val="white"/>
          <w:lang w:val="fr-FR"/>
        </w:rPr>
        <w:t>Tous responsables</w:t>
      </w:r>
      <w:r w:rsidRPr="0052793F">
        <w:rPr>
          <w:rFonts w:ascii="Cambria" w:eastAsia="Cambria" w:hAnsi="Cambria" w:cs="Cambria"/>
          <w:color w:val="252525"/>
          <w:sz w:val="14"/>
          <w:highlight w:val="white"/>
          <w:lang w:val="fr-FR"/>
        </w:rPr>
        <w:t>, Paris : éditions d’organisation, pp. 305-320.</w:t>
      </w:r>
    </w:p>
    <w:p w:rsidR="00476AC1" w:rsidRPr="0052793F" w:rsidRDefault="00371637">
      <w:pPr>
        <w:spacing w:after="80" w:line="240" w:lineRule="auto"/>
        <w:rPr>
          <w:lang w:val="fr-FR"/>
        </w:rPr>
      </w:pPr>
      <w:r w:rsidRPr="0052793F">
        <w:rPr>
          <w:rFonts w:ascii="Cambria" w:eastAsia="Cambria" w:hAnsi="Cambria" w:cs="Cambria"/>
          <w:sz w:val="14"/>
          <w:lang w:val="fr-FR"/>
        </w:rPr>
        <w:t>Bravo-Bouyssy Ketty, « Les entrepreneurs en solo : différentes logiques de création »,</w:t>
      </w:r>
      <w:r w:rsidRPr="0052793F">
        <w:rPr>
          <w:rFonts w:ascii="Cambria" w:eastAsia="Cambria" w:hAnsi="Cambria" w:cs="Cambria"/>
          <w:b/>
          <w:sz w:val="14"/>
          <w:lang w:val="fr-FR"/>
        </w:rPr>
        <w:t xml:space="preserve"> </w:t>
      </w:r>
      <w:r w:rsidRPr="0052793F">
        <w:rPr>
          <w:rFonts w:ascii="Cambria" w:eastAsia="Cambria" w:hAnsi="Cambria" w:cs="Cambria"/>
          <w:i/>
          <w:sz w:val="14"/>
          <w:lang w:val="fr-FR"/>
        </w:rPr>
        <w:t>Revue de l’Entrepreneuriat</w:t>
      </w:r>
      <w:r w:rsidRPr="0052793F">
        <w:rPr>
          <w:rFonts w:ascii="Cambria" w:eastAsia="Cambria" w:hAnsi="Cambria" w:cs="Cambria"/>
          <w:sz w:val="14"/>
          <w:lang w:val="fr-FR"/>
        </w:rPr>
        <w:t>, vol. 9, n°1, 2010, pp. 1-23.</w:t>
      </w:r>
    </w:p>
    <w:p w:rsidR="00476AC1" w:rsidRPr="0052793F" w:rsidRDefault="00371637">
      <w:pPr>
        <w:spacing w:after="80" w:line="240" w:lineRule="auto"/>
        <w:jc w:val="both"/>
        <w:rPr>
          <w:lang w:val="fr-FR"/>
        </w:rPr>
      </w:pPr>
      <w:r w:rsidRPr="0052793F">
        <w:rPr>
          <w:rFonts w:ascii="Cambria" w:eastAsia="Cambria" w:hAnsi="Cambria" w:cs="Cambria"/>
          <w:color w:val="252525"/>
          <w:sz w:val="14"/>
          <w:highlight w:val="white"/>
          <w:lang w:val="fr-FR"/>
        </w:rPr>
        <w:t>Castel Robert, 1995,</w:t>
      </w:r>
      <w:r w:rsidRPr="0052793F">
        <w:rPr>
          <w:rFonts w:ascii="Cambria" w:eastAsia="Cambria" w:hAnsi="Cambria" w:cs="Cambria"/>
          <w:i/>
          <w:color w:val="252525"/>
          <w:sz w:val="14"/>
          <w:highlight w:val="white"/>
          <w:lang w:val="fr-FR"/>
        </w:rPr>
        <w:t xml:space="preserve"> Les métamorphoses de la question sociale : une chronique du salariat</w:t>
      </w:r>
      <w:r w:rsidRPr="0052793F">
        <w:rPr>
          <w:rFonts w:ascii="Cambria" w:eastAsia="Cambria" w:hAnsi="Cambria" w:cs="Cambria"/>
          <w:color w:val="252525"/>
          <w:sz w:val="14"/>
          <w:highlight w:val="white"/>
          <w:lang w:val="fr-FR"/>
        </w:rPr>
        <w:t>, Paris,</w:t>
      </w:r>
      <w:r w:rsidRPr="0052793F">
        <w:rPr>
          <w:rFonts w:ascii="Cambria" w:eastAsia="Cambria" w:hAnsi="Cambria" w:cs="Cambria"/>
          <w:sz w:val="14"/>
          <w:lang w:val="fr-FR"/>
        </w:rPr>
        <w:t xml:space="preserve"> </w:t>
      </w:r>
      <w:hyperlink r:id="rId9">
        <w:r w:rsidRPr="0052793F">
          <w:rPr>
            <w:rFonts w:ascii="Cambria" w:eastAsia="Cambria" w:hAnsi="Cambria" w:cs="Cambria"/>
            <w:sz w:val="14"/>
            <w:highlight w:val="white"/>
            <w:lang w:val="fr-FR"/>
          </w:rPr>
          <w:t>Fayard</w:t>
        </w:r>
      </w:hyperlink>
      <w:r w:rsidRPr="0052793F">
        <w:rPr>
          <w:rFonts w:ascii="Cambria" w:eastAsia="Cambria" w:hAnsi="Cambria" w:cs="Cambria"/>
          <w:color w:val="252525"/>
          <w:sz w:val="14"/>
          <w:highlight w:val="white"/>
          <w:lang w:val="fr-FR"/>
        </w:rPr>
        <w:t>.</w:t>
      </w:r>
    </w:p>
    <w:p w:rsidR="00476AC1" w:rsidRPr="0052793F" w:rsidRDefault="00371637">
      <w:pPr>
        <w:spacing w:after="80" w:line="240" w:lineRule="auto"/>
        <w:jc w:val="both"/>
        <w:rPr>
          <w:lang w:val="fr-FR"/>
        </w:rPr>
      </w:pPr>
      <w:r w:rsidRPr="0052793F">
        <w:rPr>
          <w:rFonts w:ascii="Cambria" w:eastAsia="Cambria" w:hAnsi="Cambria" w:cs="Cambria"/>
          <w:sz w:val="14"/>
          <w:lang w:val="fr-FR"/>
        </w:rPr>
        <w:t>Castel Robert, 2009,</w:t>
      </w:r>
      <w:r w:rsidRPr="0052793F">
        <w:rPr>
          <w:rFonts w:ascii="Cambria" w:eastAsia="Cambria" w:hAnsi="Cambria" w:cs="Cambria"/>
          <w:i/>
          <w:sz w:val="14"/>
          <w:lang w:val="fr-FR"/>
        </w:rPr>
        <w:t xml:space="preserve"> La montée des incertitudes : travail, protections, statut de l'individu</w:t>
      </w:r>
      <w:r w:rsidRPr="0052793F">
        <w:rPr>
          <w:rFonts w:ascii="Cambria" w:eastAsia="Cambria" w:hAnsi="Cambria" w:cs="Cambria"/>
          <w:sz w:val="14"/>
          <w:lang w:val="fr-FR"/>
        </w:rPr>
        <w:t>, Paris, Éd. du Seuil.</w:t>
      </w:r>
    </w:p>
    <w:p w:rsidR="00476AC1" w:rsidRPr="0052793F" w:rsidRDefault="00371637">
      <w:pPr>
        <w:spacing w:after="80" w:line="240" w:lineRule="auto"/>
        <w:rPr>
          <w:lang w:val="fr-FR"/>
        </w:rPr>
      </w:pPr>
      <w:r w:rsidRPr="0052793F">
        <w:rPr>
          <w:rFonts w:ascii="Cambria" w:eastAsia="Cambria" w:hAnsi="Cambria" w:cs="Cambria"/>
          <w:sz w:val="14"/>
          <w:lang w:val="fr-FR"/>
        </w:rPr>
        <w:t xml:space="preserve">Castells Manuel, 1998. </w:t>
      </w:r>
      <w:r w:rsidRPr="0052793F">
        <w:rPr>
          <w:rFonts w:ascii="Cambria" w:eastAsia="Cambria" w:hAnsi="Cambria" w:cs="Cambria"/>
          <w:i/>
          <w:sz w:val="14"/>
          <w:lang w:val="fr-FR"/>
        </w:rPr>
        <w:t>La Société en réseaux. L’ère de l’information</w:t>
      </w:r>
      <w:r w:rsidRPr="0052793F">
        <w:rPr>
          <w:rFonts w:ascii="Cambria" w:eastAsia="Cambria" w:hAnsi="Cambria" w:cs="Cambria"/>
          <w:sz w:val="14"/>
          <w:lang w:val="fr-FR"/>
        </w:rPr>
        <w:t>. Paris, Fayard.</w:t>
      </w:r>
    </w:p>
    <w:p w:rsidR="00476AC1" w:rsidRPr="0052793F" w:rsidRDefault="00371637">
      <w:pPr>
        <w:spacing w:after="80" w:line="240" w:lineRule="auto"/>
        <w:rPr>
          <w:lang w:val="fr-FR"/>
        </w:rPr>
      </w:pPr>
      <w:r>
        <w:rPr>
          <w:rFonts w:ascii="Cambria" w:eastAsia="Cambria" w:hAnsi="Cambria" w:cs="Cambria"/>
          <w:sz w:val="14"/>
        </w:rPr>
        <w:t xml:space="preserve">Du Gay Paul et </w:t>
      </w:r>
      <w:proofErr w:type="spellStart"/>
      <w:r>
        <w:rPr>
          <w:rFonts w:ascii="Cambria" w:eastAsia="Cambria" w:hAnsi="Cambria" w:cs="Cambria"/>
          <w:sz w:val="14"/>
        </w:rPr>
        <w:t>Salaman</w:t>
      </w:r>
      <w:proofErr w:type="spellEnd"/>
      <w:r>
        <w:rPr>
          <w:rFonts w:ascii="Cambria" w:eastAsia="Cambria" w:hAnsi="Cambria" w:cs="Cambria"/>
          <w:sz w:val="14"/>
        </w:rPr>
        <w:t xml:space="preserve"> Graeme, 1992, « The </w:t>
      </w:r>
      <w:proofErr w:type="gramStart"/>
      <w:r>
        <w:rPr>
          <w:rFonts w:ascii="Cambria" w:eastAsia="Cambria" w:hAnsi="Cambria" w:cs="Cambria"/>
          <w:sz w:val="14"/>
        </w:rPr>
        <w:t>Cult[</w:t>
      </w:r>
      <w:proofErr w:type="spellStart"/>
      <w:proofErr w:type="gramEnd"/>
      <w:r>
        <w:rPr>
          <w:rFonts w:ascii="Cambria" w:eastAsia="Cambria" w:hAnsi="Cambria" w:cs="Cambria"/>
          <w:sz w:val="14"/>
        </w:rPr>
        <w:t>ure</w:t>
      </w:r>
      <w:proofErr w:type="spellEnd"/>
      <w:r>
        <w:rPr>
          <w:rFonts w:ascii="Cambria" w:eastAsia="Cambria" w:hAnsi="Cambria" w:cs="Cambria"/>
          <w:sz w:val="14"/>
        </w:rPr>
        <w:t xml:space="preserve">] of the customer ».  </w:t>
      </w:r>
      <w:r w:rsidRPr="0052793F">
        <w:rPr>
          <w:rFonts w:ascii="Cambria" w:eastAsia="Cambria" w:hAnsi="Cambria" w:cs="Cambria"/>
          <w:i/>
          <w:sz w:val="14"/>
          <w:lang w:val="fr-FR"/>
        </w:rPr>
        <w:t>Journal of Management Studies</w:t>
      </w:r>
      <w:r w:rsidRPr="0052793F">
        <w:rPr>
          <w:rFonts w:ascii="Cambria" w:eastAsia="Cambria" w:hAnsi="Cambria" w:cs="Cambria"/>
          <w:sz w:val="14"/>
          <w:lang w:val="fr-FR"/>
        </w:rPr>
        <w:t>, vol. 29, n°5, September, pp. 615-633.</w:t>
      </w:r>
    </w:p>
    <w:p w:rsidR="00476AC1" w:rsidRPr="0052793F" w:rsidRDefault="00371637">
      <w:pPr>
        <w:spacing w:after="80" w:line="240" w:lineRule="auto"/>
        <w:rPr>
          <w:lang w:val="fr-FR"/>
        </w:rPr>
      </w:pPr>
      <w:r w:rsidRPr="0052793F">
        <w:rPr>
          <w:rFonts w:ascii="Cambria" w:eastAsia="Cambria" w:hAnsi="Cambria" w:cs="Cambria"/>
          <w:sz w:val="14"/>
          <w:lang w:val="fr-FR"/>
        </w:rPr>
        <w:t xml:space="preserve">Hernandez Emile-Michel et Marco Luc, 2008,  « Entrepreneuriat versus salariat. Construction et déconstruction d’un modèle ? » </w:t>
      </w:r>
      <w:r w:rsidRPr="0052793F">
        <w:rPr>
          <w:rFonts w:ascii="Cambria" w:eastAsia="Cambria" w:hAnsi="Cambria" w:cs="Cambria"/>
          <w:i/>
          <w:sz w:val="14"/>
          <w:lang w:val="fr-FR"/>
        </w:rPr>
        <w:t>Revue française de gestion</w:t>
      </w:r>
      <w:r w:rsidRPr="0052793F">
        <w:rPr>
          <w:rFonts w:ascii="Cambria" w:eastAsia="Cambria" w:hAnsi="Cambria" w:cs="Cambria"/>
          <w:sz w:val="14"/>
          <w:lang w:val="fr-FR"/>
        </w:rPr>
        <w:t xml:space="preserve">, vol.8, n°188-189, pp. 61-76. </w:t>
      </w:r>
    </w:p>
    <w:p w:rsidR="00476AC1" w:rsidRPr="0052793F" w:rsidRDefault="00371637">
      <w:pPr>
        <w:spacing w:after="80" w:line="240" w:lineRule="auto"/>
        <w:rPr>
          <w:lang w:val="fr-FR"/>
        </w:rPr>
      </w:pPr>
      <w:r w:rsidRPr="0052793F">
        <w:rPr>
          <w:rFonts w:ascii="Cambria" w:eastAsia="Cambria" w:hAnsi="Cambria" w:cs="Cambria"/>
          <w:sz w:val="14"/>
          <w:lang w:val="fr-FR"/>
        </w:rPr>
        <w:t xml:space="preserve">Igalens Jacques, 2004, « Les transitions de carrière : de la responsabilité à l’égard de l’emploi à la responsabilité à l’égard de l’employabilité », </w:t>
      </w:r>
      <w:r w:rsidRPr="0052793F">
        <w:rPr>
          <w:rFonts w:ascii="Cambria" w:eastAsia="Cambria" w:hAnsi="Cambria" w:cs="Cambria"/>
          <w:color w:val="252525"/>
          <w:sz w:val="14"/>
          <w:highlight w:val="white"/>
          <w:lang w:val="fr-FR"/>
        </w:rPr>
        <w:t xml:space="preserve">in J Igalens (dir), </w:t>
      </w:r>
      <w:r w:rsidRPr="0052793F">
        <w:rPr>
          <w:rFonts w:ascii="Cambria" w:eastAsia="Cambria" w:hAnsi="Cambria" w:cs="Cambria"/>
          <w:i/>
          <w:color w:val="252525"/>
          <w:sz w:val="14"/>
          <w:highlight w:val="white"/>
          <w:lang w:val="fr-FR"/>
        </w:rPr>
        <w:t>Tous responsables</w:t>
      </w:r>
      <w:r w:rsidRPr="0052793F">
        <w:rPr>
          <w:rFonts w:ascii="Cambria" w:eastAsia="Cambria" w:hAnsi="Cambria" w:cs="Cambria"/>
          <w:color w:val="252525"/>
          <w:sz w:val="14"/>
          <w:highlight w:val="white"/>
          <w:lang w:val="fr-FR"/>
        </w:rPr>
        <w:t>, Paris : éditions d’organisation, pp. 291-304.</w:t>
      </w:r>
    </w:p>
    <w:p w:rsidR="00476AC1" w:rsidRPr="0052793F" w:rsidRDefault="00371637">
      <w:pPr>
        <w:spacing w:after="80" w:line="240" w:lineRule="auto"/>
        <w:rPr>
          <w:lang w:val="fr-FR"/>
        </w:rPr>
      </w:pPr>
      <w:r w:rsidRPr="0052793F">
        <w:rPr>
          <w:rFonts w:ascii="Cambria" w:eastAsia="Cambria" w:hAnsi="Cambria" w:cs="Cambria"/>
          <w:sz w:val="14"/>
          <w:lang w:val="fr-FR"/>
        </w:rPr>
        <w:t xml:space="preserve">Peretti Jean-Marie, 2004, « Les seniors : d’une logique d’exclusion à la rétention active », </w:t>
      </w:r>
      <w:r w:rsidRPr="0052793F">
        <w:rPr>
          <w:rFonts w:ascii="Cambria" w:eastAsia="Cambria" w:hAnsi="Cambria" w:cs="Cambria"/>
          <w:color w:val="252525"/>
          <w:sz w:val="14"/>
          <w:highlight w:val="white"/>
          <w:lang w:val="fr-FR"/>
        </w:rPr>
        <w:t xml:space="preserve">in J Igalens (dir), </w:t>
      </w:r>
      <w:r w:rsidRPr="0052793F">
        <w:rPr>
          <w:rFonts w:ascii="Cambria" w:eastAsia="Cambria" w:hAnsi="Cambria" w:cs="Cambria"/>
          <w:i/>
          <w:color w:val="252525"/>
          <w:sz w:val="14"/>
          <w:highlight w:val="white"/>
          <w:lang w:val="fr-FR"/>
        </w:rPr>
        <w:t>Tous responsables</w:t>
      </w:r>
      <w:r w:rsidRPr="0052793F">
        <w:rPr>
          <w:rFonts w:ascii="Cambria" w:eastAsia="Cambria" w:hAnsi="Cambria" w:cs="Cambria"/>
          <w:color w:val="252525"/>
          <w:sz w:val="14"/>
          <w:highlight w:val="white"/>
          <w:lang w:val="fr-FR"/>
        </w:rPr>
        <w:t>, Paris : éditions d’organisation, pp. 275-290.</w:t>
      </w:r>
    </w:p>
    <w:p w:rsidR="00476AC1" w:rsidRPr="0052793F" w:rsidRDefault="00371637">
      <w:pPr>
        <w:spacing w:after="80" w:line="240" w:lineRule="auto"/>
        <w:rPr>
          <w:lang w:val="fr-FR"/>
        </w:rPr>
      </w:pPr>
      <w:r w:rsidRPr="0052793F">
        <w:rPr>
          <w:rFonts w:ascii="Cambria" w:eastAsia="Cambria" w:hAnsi="Cambria" w:cs="Cambria"/>
          <w:color w:val="252525"/>
          <w:sz w:val="14"/>
          <w:highlight w:val="white"/>
          <w:lang w:val="fr-FR"/>
        </w:rPr>
        <w:t xml:space="preserve">Pesqueux Yvon, 2000, </w:t>
      </w:r>
      <w:r w:rsidRPr="00AE46FA">
        <w:rPr>
          <w:rFonts w:ascii="Cambria" w:eastAsia="Cambria" w:hAnsi="Cambria" w:cs="Cambria"/>
          <w:i/>
          <w:color w:val="252525"/>
          <w:sz w:val="14"/>
          <w:highlight w:val="white"/>
          <w:lang w:val="fr-FR"/>
        </w:rPr>
        <w:t>Le Gouvernement de l’entreprise comme idéologie</w:t>
      </w:r>
      <w:r w:rsidRPr="0052793F">
        <w:rPr>
          <w:rFonts w:ascii="Cambria" w:eastAsia="Cambria" w:hAnsi="Cambria" w:cs="Cambria"/>
          <w:color w:val="252525"/>
          <w:sz w:val="14"/>
          <w:highlight w:val="white"/>
          <w:lang w:val="fr-FR"/>
        </w:rPr>
        <w:t>, Paris : Ellipses.</w:t>
      </w:r>
    </w:p>
    <w:p w:rsidR="00476AC1" w:rsidRPr="0052793F" w:rsidRDefault="00371637">
      <w:pPr>
        <w:spacing w:after="80" w:line="240" w:lineRule="auto"/>
        <w:jc w:val="both"/>
        <w:rPr>
          <w:lang w:val="fr-FR"/>
        </w:rPr>
      </w:pPr>
      <w:r w:rsidRPr="0052793F">
        <w:rPr>
          <w:rFonts w:ascii="Cambria" w:eastAsia="Cambria" w:hAnsi="Cambria" w:cs="Cambria"/>
          <w:sz w:val="14"/>
          <w:lang w:val="fr-FR"/>
        </w:rPr>
        <w:t xml:space="preserve">Poncin Béatrice, 2004, </w:t>
      </w:r>
      <w:r w:rsidRPr="0052793F">
        <w:rPr>
          <w:rFonts w:ascii="Cambria" w:eastAsia="Cambria" w:hAnsi="Cambria" w:cs="Cambria"/>
          <w:i/>
          <w:sz w:val="14"/>
          <w:lang w:val="fr-FR"/>
        </w:rPr>
        <w:t>Salariés sans patron ?</w:t>
      </w:r>
      <w:r w:rsidRPr="0052793F">
        <w:rPr>
          <w:rFonts w:ascii="Cambria" w:eastAsia="Cambria" w:hAnsi="Cambria" w:cs="Cambria"/>
          <w:sz w:val="14"/>
          <w:lang w:val="fr-FR"/>
        </w:rPr>
        <w:t xml:space="preserve"> Paris, Editions du Croquant.</w:t>
      </w:r>
    </w:p>
    <w:p w:rsidR="00476AC1" w:rsidRPr="0052793F" w:rsidRDefault="00371637">
      <w:pPr>
        <w:spacing w:after="80" w:line="240" w:lineRule="auto"/>
        <w:jc w:val="both"/>
        <w:rPr>
          <w:lang w:val="fr-FR"/>
        </w:rPr>
      </w:pPr>
      <w:r w:rsidRPr="0052793F">
        <w:rPr>
          <w:rFonts w:ascii="Cambria" w:eastAsia="Cambria" w:hAnsi="Cambria" w:cs="Cambria"/>
          <w:sz w:val="14"/>
          <w:lang w:val="fr-FR"/>
        </w:rPr>
        <w:t xml:space="preserve">Reynaud Emmanuèle, 2007, « Aux marges du salariat : les professionnels autonomes », in F. Vatin, </w:t>
      </w:r>
      <w:r w:rsidRPr="0052793F">
        <w:rPr>
          <w:rFonts w:ascii="Cambria" w:eastAsia="Cambria" w:hAnsi="Cambria" w:cs="Cambria"/>
          <w:i/>
          <w:sz w:val="14"/>
          <w:lang w:val="fr-FR"/>
        </w:rPr>
        <w:t>Le salariat: théorie, histoire et formes</w:t>
      </w:r>
      <w:r w:rsidRPr="0052793F">
        <w:rPr>
          <w:rFonts w:ascii="Cambria" w:eastAsia="Cambria" w:hAnsi="Cambria" w:cs="Cambria"/>
          <w:sz w:val="14"/>
          <w:lang w:val="fr-FR"/>
        </w:rPr>
        <w:t>, Paris, La Dispute/SNEDIT.</w:t>
      </w:r>
    </w:p>
    <w:p w:rsidR="00476AC1" w:rsidRPr="0052793F" w:rsidRDefault="00371637">
      <w:pPr>
        <w:spacing w:after="80" w:line="240" w:lineRule="auto"/>
        <w:jc w:val="both"/>
        <w:rPr>
          <w:lang w:val="fr-FR"/>
        </w:rPr>
      </w:pPr>
      <w:r w:rsidRPr="0052793F">
        <w:rPr>
          <w:rFonts w:ascii="Cambria" w:eastAsia="Cambria" w:hAnsi="Cambria" w:cs="Cambria"/>
          <w:sz w:val="14"/>
          <w:lang w:val="fr-FR"/>
        </w:rPr>
        <w:t xml:space="preserve">Stiegler Bernard, 2008, </w:t>
      </w:r>
      <w:r w:rsidRPr="0052793F">
        <w:rPr>
          <w:rFonts w:ascii="Cambria" w:eastAsia="Cambria" w:hAnsi="Cambria" w:cs="Cambria"/>
          <w:i/>
          <w:sz w:val="14"/>
          <w:lang w:val="fr-FR"/>
        </w:rPr>
        <w:t>Le Design de nos existences à l’époque de l’innovation ascendante</w:t>
      </w:r>
      <w:r w:rsidRPr="0052793F">
        <w:rPr>
          <w:rFonts w:ascii="Cambria" w:eastAsia="Cambria" w:hAnsi="Cambria" w:cs="Cambria"/>
          <w:sz w:val="14"/>
          <w:lang w:val="fr-FR"/>
        </w:rPr>
        <w:t>, Paris : Mille et une nuits.</w:t>
      </w:r>
    </w:p>
    <w:p w:rsidR="00476AC1" w:rsidRPr="0052793F" w:rsidRDefault="00476AC1">
      <w:pPr>
        <w:jc w:val="both"/>
        <w:rPr>
          <w:lang w:val="fr-FR"/>
        </w:rPr>
      </w:pPr>
    </w:p>
    <w:p w:rsidR="00476AC1" w:rsidRPr="0052793F" w:rsidRDefault="00476AC1">
      <w:pPr>
        <w:jc w:val="both"/>
        <w:rPr>
          <w:lang w:val="fr-FR"/>
        </w:rPr>
      </w:pPr>
    </w:p>
    <w:sectPr w:rsidR="00476AC1" w:rsidRPr="0052793F" w:rsidSect="00AE46FA">
      <w:headerReference w:type="default" r:id="rId10"/>
      <w:pgSz w:w="11906" w:h="16838"/>
      <w:pgMar w:top="1701" w:right="709" w:bottom="1134" w:left="992" w:header="720" w:footer="720" w:gutter="0"/>
      <w:cols w:num="2" w:space="2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B9" w:rsidRDefault="00C12FB9" w:rsidP="0052793F">
      <w:pPr>
        <w:spacing w:after="0" w:line="240" w:lineRule="auto"/>
      </w:pPr>
      <w:r>
        <w:separator/>
      </w:r>
    </w:p>
  </w:endnote>
  <w:endnote w:type="continuationSeparator" w:id="0">
    <w:p w:rsidR="00C12FB9" w:rsidRDefault="00C12FB9" w:rsidP="0052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B9" w:rsidRDefault="00C12FB9" w:rsidP="0052793F">
      <w:pPr>
        <w:spacing w:after="0" w:line="240" w:lineRule="auto"/>
      </w:pPr>
      <w:r>
        <w:separator/>
      </w:r>
    </w:p>
  </w:footnote>
  <w:footnote w:type="continuationSeparator" w:id="0">
    <w:p w:rsidR="00C12FB9" w:rsidRDefault="00C12FB9" w:rsidP="005279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93F" w:rsidRDefault="0052793F">
    <w:pPr>
      <w:pStyle w:val="En-tte"/>
    </w:pPr>
    <w:r>
      <w:rPr>
        <w:noProof/>
        <w:lang w:val="fr-FR" w:eastAsia="fr-FR"/>
      </w:rPr>
      <w:drawing>
        <wp:anchor distT="0" distB="0" distL="114300" distR="114300" simplePos="0" relativeHeight="251658240" behindDoc="1" locked="0" layoutInCell="1" allowOverlap="1">
          <wp:simplePos x="0" y="0"/>
          <wp:positionH relativeFrom="column">
            <wp:posOffset>-87630</wp:posOffset>
          </wp:positionH>
          <wp:positionV relativeFrom="paragraph">
            <wp:posOffset>-372110</wp:posOffset>
          </wp:positionV>
          <wp:extent cx="771525" cy="771525"/>
          <wp:effectExtent l="0" t="0" r="9525" b="9525"/>
          <wp:wrapThrough wrapText="bothSides">
            <wp:wrapPolygon edited="0">
              <wp:start x="0" y="0"/>
              <wp:lineTo x="0" y="21333"/>
              <wp:lineTo x="21333" y="21333"/>
              <wp:lineTo x="21333" y="0"/>
              <wp:lineTo x="0" y="0"/>
            </wp:wrapPolygon>
          </wp:wrapThrough>
          <wp:docPr id="1" name="Image 1" descr="C:\Users\Moez AMMAR\Downloads\logo_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ez AMMAR\Downloads\logo_TE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noProof/>
        <w:lang w:val="fr-FR" w:eastAsia="fr-FR"/>
      </w:rPr>
      <w:drawing>
        <wp:anchor distT="0" distB="0" distL="114300" distR="114300" simplePos="0" relativeHeight="251659264" behindDoc="0" locked="0" layoutInCell="1" allowOverlap="1">
          <wp:simplePos x="0" y="0"/>
          <wp:positionH relativeFrom="column">
            <wp:posOffset>4712335</wp:posOffset>
          </wp:positionH>
          <wp:positionV relativeFrom="paragraph">
            <wp:posOffset>-371475</wp:posOffset>
          </wp:positionV>
          <wp:extent cx="1762125" cy="654625"/>
          <wp:effectExtent l="0" t="0" r="0" b="0"/>
          <wp:wrapNone/>
          <wp:docPr id="2" name="Image 2" descr="C:\Users\Moez AMMAR\Downloads\logo-horizontal-umalis-lab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ez AMMAR\Downloads\logo-horizontal-umalis-lab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5462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B4E77"/>
    <w:multiLevelType w:val="multilevel"/>
    <w:tmpl w:val="CB6CA92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C1"/>
    <w:rsid w:val="00005EB0"/>
    <w:rsid w:val="000204C8"/>
    <w:rsid w:val="00047327"/>
    <w:rsid w:val="000C1759"/>
    <w:rsid w:val="000E467F"/>
    <w:rsid w:val="00147042"/>
    <w:rsid w:val="0016222F"/>
    <w:rsid w:val="001964DA"/>
    <w:rsid w:val="001C26A0"/>
    <w:rsid w:val="00371637"/>
    <w:rsid w:val="00476AC1"/>
    <w:rsid w:val="0052793F"/>
    <w:rsid w:val="006324D9"/>
    <w:rsid w:val="00683092"/>
    <w:rsid w:val="006D429A"/>
    <w:rsid w:val="00800CF8"/>
    <w:rsid w:val="008E4CBA"/>
    <w:rsid w:val="009736AD"/>
    <w:rsid w:val="009E36A9"/>
    <w:rsid w:val="009F3851"/>
    <w:rsid w:val="00A818F9"/>
    <w:rsid w:val="00AD20B2"/>
    <w:rsid w:val="00AE1A1D"/>
    <w:rsid w:val="00AE46FA"/>
    <w:rsid w:val="00B94EA2"/>
    <w:rsid w:val="00BC6FA5"/>
    <w:rsid w:val="00C12FB9"/>
    <w:rsid w:val="00CA6AF2"/>
    <w:rsid w:val="00DC7DD4"/>
    <w:rsid w:val="00E21E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7327"/>
  </w:style>
  <w:style w:type="paragraph" w:styleId="Titre1">
    <w:name w:val="heading 1"/>
    <w:basedOn w:val="Normal"/>
    <w:next w:val="Normal"/>
    <w:rsid w:val="00047327"/>
    <w:pPr>
      <w:keepNext/>
      <w:keepLines/>
      <w:spacing w:before="480" w:after="120"/>
      <w:contextualSpacing/>
      <w:outlineLvl w:val="0"/>
    </w:pPr>
    <w:rPr>
      <w:b/>
      <w:sz w:val="48"/>
    </w:rPr>
  </w:style>
  <w:style w:type="paragraph" w:styleId="Titre2">
    <w:name w:val="heading 2"/>
    <w:basedOn w:val="Normal"/>
    <w:next w:val="Normal"/>
    <w:rsid w:val="00047327"/>
    <w:pPr>
      <w:keepNext/>
      <w:keepLines/>
      <w:spacing w:before="360" w:after="80"/>
      <w:contextualSpacing/>
      <w:outlineLvl w:val="1"/>
    </w:pPr>
    <w:rPr>
      <w:b/>
      <w:sz w:val="36"/>
    </w:rPr>
  </w:style>
  <w:style w:type="paragraph" w:styleId="Titre3">
    <w:name w:val="heading 3"/>
    <w:basedOn w:val="Normal"/>
    <w:next w:val="Normal"/>
    <w:rsid w:val="00047327"/>
    <w:pPr>
      <w:keepNext/>
      <w:keepLines/>
      <w:spacing w:before="280" w:after="80"/>
      <w:contextualSpacing/>
      <w:outlineLvl w:val="2"/>
    </w:pPr>
    <w:rPr>
      <w:b/>
      <w:sz w:val="28"/>
    </w:rPr>
  </w:style>
  <w:style w:type="paragraph" w:styleId="Titre4">
    <w:name w:val="heading 4"/>
    <w:basedOn w:val="Normal"/>
    <w:next w:val="Normal"/>
    <w:rsid w:val="00047327"/>
    <w:pPr>
      <w:keepNext/>
      <w:keepLines/>
      <w:spacing w:before="240" w:after="40"/>
      <w:contextualSpacing/>
      <w:outlineLvl w:val="3"/>
    </w:pPr>
    <w:rPr>
      <w:b/>
      <w:sz w:val="24"/>
    </w:rPr>
  </w:style>
  <w:style w:type="paragraph" w:styleId="Titre5">
    <w:name w:val="heading 5"/>
    <w:basedOn w:val="Normal"/>
    <w:next w:val="Normal"/>
    <w:rsid w:val="00047327"/>
    <w:pPr>
      <w:keepNext/>
      <w:keepLines/>
      <w:spacing w:before="220" w:after="40"/>
      <w:contextualSpacing/>
      <w:outlineLvl w:val="4"/>
    </w:pPr>
    <w:rPr>
      <w:b/>
    </w:rPr>
  </w:style>
  <w:style w:type="paragraph" w:styleId="Titre6">
    <w:name w:val="heading 6"/>
    <w:basedOn w:val="Normal"/>
    <w:next w:val="Normal"/>
    <w:rsid w:val="00047327"/>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47327"/>
    <w:tblPr>
      <w:tblCellMar>
        <w:top w:w="0" w:type="dxa"/>
        <w:left w:w="0" w:type="dxa"/>
        <w:bottom w:w="0" w:type="dxa"/>
        <w:right w:w="0" w:type="dxa"/>
      </w:tblCellMar>
    </w:tblPr>
  </w:style>
  <w:style w:type="paragraph" w:styleId="Titre">
    <w:name w:val="Title"/>
    <w:basedOn w:val="Normal"/>
    <w:next w:val="Normal"/>
    <w:rsid w:val="00047327"/>
    <w:pPr>
      <w:keepNext/>
      <w:keepLines/>
      <w:spacing w:before="480" w:after="120"/>
      <w:contextualSpacing/>
    </w:pPr>
    <w:rPr>
      <w:b/>
      <w:sz w:val="72"/>
    </w:rPr>
  </w:style>
  <w:style w:type="paragraph" w:styleId="Sous-titre">
    <w:name w:val="Subtitle"/>
    <w:basedOn w:val="Normal"/>
    <w:next w:val="Normal"/>
    <w:rsid w:val="00047327"/>
    <w:pPr>
      <w:keepNext/>
      <w:keepLines/>
      <w:spacing w:before="360" w:after="80"/>
      <w:contextualSpacing/>
    </w:pPr>
    <w:rPr>
      <w:rFonts w:ascii="Georgia" w:eastAsia="Georgia" w:hAnsi="Georgia" w:cs="Georgia"/>
      <w:i/>
      <w:color w:val="666666"/>
      <w:sz w:val="48"/>
    </w:rPr>
  </w:style>
  <w:style w:type="paragraph" w:styleId="En-tte">
    <w:name w:val="header"/>
    <w:basedOn w:val="Normal"/>
    <w:link w:val="En-tteCar"/>
    <w:uiPriority w:val="99"/>
    <w:unhideWhenUsed/>
    <w:rsid w:val="0052793F"/>
    <w:pPr>
      <w:tabs>
        <w:tab w:val="center" w:pos="4536"/>
        <w:tab w:val="right" w:pos="9072"/>
      </w:tabs>
      <w:spacing w:after="0" w:line="240" w:lineRule="auto"/>
    </w:pPr>
  </w:style>
  <w:style w:type="character" w:customStyle="1" w:styleId="En-tteCar">
    <w:name w:val="En-tête Car"/>
    <w:basedOn w:val="Policepardfaut"/>
    <w:link w:val="En-tte"/>
    <w:uiPriority w:val="99"/>
    <w:rsid w:val="0052793F"/>
  </w:style>
  <w:style w:type="paragraph" w:styleId="Pieddepage">
    <w:name w:val="footer"/>
    <w:basedOn w:val="Normal"/>
    <w:link w:val="PieddepageCar"/>
    <w:uiPriority w:val="99"/>
    <w:unhideWhenUsed/>
    <w:rsid w:val="005279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93F"/>
  </w:style>
  <w:style w:type="paragraph" w:styleId="Textedebulles">
    <w:name w:val="Balloon Text"/>
    <w:basedOn w:val="Normal"/>
    <w:link w:val="TextedebullesCar"/>
    <w:uiPriority w:val="99"/>
    <w:semiHidden/>
    <w:unhideWhenUsed/>
    <w:rsid w:val="005279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3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7327"/>
  </w:style>
  <w:style w:type="paragraph" w:styleId="Titre1">
    <w:name w:val="heading 1"/>
    <w:basedOn w:val="Normal"/>
    <w:next w:val="Normal"/>
    <w:rsid w:val="00047327"/>
    <w:pPr>
      <w:keepNext/>
      <w:keepLines/>
      <w:spacing w:before="480" w:after="120"/>
      <w:contextualSpacing/>
      <w:outlineLvl w:val="0"/>
    </w:pPr>
    <w:rPr>
      <w:b/>
      <w:sz w:val="48"/>
    </w:rPr>
  </w:style>
  <w:style w:type="paragraph" w:styleId="Titre2">
    <w:name w:val="heading 2"/>
    <w:basedOn w:val="Normal"/>
    <w:next w:val="Normal"/>
    <w:rsid w:val="00047327"/>
    <w:pPr>
      <w:keepNext/>
      <w:keepLines/>
      <w:spacing w:before="360" w:after="80"/>
      <w:contextualSpacing/>
      <w:outlineLvl w:val="1"/>
    </w:pPr>
    <w:rPr>
      <w:b/>
      <w:sz w:val="36"/>
    </w:rPr>
  </w:style>
  <w:style w:type="paragraph" w:styleId="Titre3">
    <w:name w:val="heading 3"/>
    <w:basedOn w:val="Normal"/>
    <w:next w:val="Normal"/>
    <w:rsid w:val="00047327"/>
    <w:pPr>
      <w:keepNext/>
      <w:keepLines/>
      <w:spacing w:before="280" w:after="80"/>
      <w:contextualSpacing/>
      <w:outlineLvl w:val="2"/>
    </w:pPr>
    <w:rPr>
      <w:b/>
      <w:sz w:val="28"/>
    </w:rPr>
  </w:style>
  <w:style w:type="paragraph" w:styleId="Titre4">
    <w:name w:val="heading 4"/>
    <w:basedOn w:val="Normal"/>
    <w:next w:val="Normal"/>
    <w:rsid w:val="00047327"/>
    <w:pPr>
      <w:keepNext/>
      <w:keepLines/>
      <w:spacing w:before="240" w:after="40"/>
      <w:contextualSpacing/>
      <w:outlineLvl w:val="3"/>
    </w:pPr>
    <w:rPr>
      <w:b/>
      <w:sz w:val="24"/>
    </w:rPr>
  </w:style>
  <w:style w:type="paragraph" w:styleId="Titre5">
    <w:name w:val="heading 5"/>
    <w:basedOn w:val="Normal"/>
    <w:next w:val="Normal"/>
    <w:rsid w:val="00047327"/>
    <w:pPr>
      <w:keepNext/>
      <w:keepLines/>
      <w:spacing w:before="220" w:after="40"/>
      <w:contextualSpacing/>
      <w:outlineLvl w:val="4"/>
    </w:pPr>
    <w:rPr>
      <w:b/>
    </w:rPr>
  </w:style>
  <w:style w:type="paragraph" w:styleId="Titre6">
    <w:name w:val="heading 6"/>
    <w:basedOn w:val="Normal"/>
    <w:next w:val="Normal"/>
    <w:rsid w:val="00047327"/>
    <w:pPr>
      <w:keepNext/>
      <w:keepLines/>
      <w:spacing w:before="200" w:after="40"/>
      <w:contextualSpacing/>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47327"/>
    <w:tblPr>
      <w:tblCellMar>
        <w:top w:w="0" w:type="dxa"/>
        <w:left w:w="0" w:type="dxa"/>
        <w:bottom w:w="0" w:type="dxa"/>
        <w:right w:w="0" w:type="dxa"/>
      </w:tblCellMar>
    </w:tblPr>
  </w:style>
  <w:style w:type="paragraph" w:styleId="Titre">
    <w:name w:val="Title"/>
    <w:basedOn w:val="Normal"/>
    <w:next w:val="Normal"/>
    <w:rsid w:val="00047327"/>
    <w:pPr>
      <w:keepNext/>
      <w:keepLines/>
      <w:spacing w:before="480" w:after="120"/>
      <w:contextualSpacing/>
    </w:pPr>
    <w:rPr>
      <w:b/>
      <w:sz w:val="72"/>
    </w:rPr>
  </w:style>
  <w:style w:type="paragraph" w:styleId="Sous-titre">
    <w:name w:val="Subtitle"/>
    <w:basedOn w:val="Normal"/>
    <w:next w:val="Normal"/>
    <w:rsid w:val="00047327"/>
    <w:pPr>
      <w:keepNext/>
      <w:keepLines/>
      <w:spacing w:before="360" w:after="80"/>
      <w:contextualSpacing/>
    </w:pPr>
    <w:rPr>
      <w:rFonts w:ascii="Georgia" w:eastAsia="Georgia" w:hAnsi="Georgia" w:cs="Georgia"/>
      <w:i/>
      <w:color w:val="666666"/>
      <w:sz w:val="48"/>
    </w:rPr>
  </w:style>
  <w:style w:type="paragraph" w:styleId="En-tte">
    <w:name w:val="header"/>
    <w:basedOn w:val="Normal"/>
    <w:link w:val="En-tteCar"/>
    <w:uiPriority w:val="99"/>
    <w:unhideWhenUsed/>
    <w:rsid w:val="0052793F"/>
    <w:pPr>
      <w:tabs>
        <w:tab w:val="center" w:pos="4536"/>
        <w:tab w:val="right" w:pos="9072"/>
      </w:tabs>
      <w:spacing w:after="0" w:line="240" w:lineRule="auto"/>
    </w:pPr>
  </w:style>
  <w:style w:type="character" w:customStyle="1" w:styleId="En-tteCar">
    <w:name w:val="En-tête Car"/>
    <w:basedOn w:val="Policepardfaut"/>
    <w:link w:val="En-tte"/>
    <w:uiPriority w:val="99"/>
    <w:rsid w:val="0052793F"/>
  </w:style>
  <w:style w:type="paragraph" w:styleId="Pieddepage">
    <w:name w:val="footer"/>
    <w:basedOn w:val="Normal"/>
    <w:link w:val="PieddepageCar"/>
    <w:uiPriority w:val="99"/>
    <w:unhideWhenUsed/>
    <w:rsid w:val="005279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793F"/>
  </w:style>
  <w:style w:type="paragraph" w:styleId="Textedebulles">
    <w:name w:val="Balloon Text"/>
    <w:basedOn w:val="Normal"/>
    <w:link w:val="TextedebullesCar"/>
    <w:uiPriority w:val="99"/>
    <w:semiHidden/>
    <w:unhideWhenUsed/>
    <w:rsid w:val="005279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9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r.wikipedia.org/wiki/Fayard_(maison_d%27%C3%A9dition)"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254A-10BB-5349-955F-FD26A7A8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1293</Words>
  <Characters>7116</Characters>
  <Application>Microsoft Macintosh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Appel La déconstruction créatrice.docx</vt:lpstr>
    </vt:vector>
  </TitlesOfParts>
  <Company>DISI</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La déconstruction créatrice.docx</dc:title>
  <dc:creator>Julien Billion</dc:creator>
  <cp:lastModifiedBy>Dominique Frugier</cp:lastModifiedBy>
  <cp:revision>2</cp:revision>
  <cp:lastPrinted>2014-05-29T16:18:00Z</cp:lastPrinted>
  <dcterms:created xsi:type="dcterms:W3CDTF">2014-06-18T13:18:00Z</dcterms:created>
  <dcterms:modified xsi:type="dcterms:W3CDTF">2014-06-18T13:18:00Z</dcterms:modified>
</cp:coreProperties>
</file>